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265B7">
        <w:rPr>
          <w:rFonts w:ascii="Times New Roman" w:hAnsi="Times New Roman" w:cs="Times New Roman"/>
          <w:b/>
          <w:sz w:val="36"/>
          <w:szCs w:val="36"/>
          <w:u w:val="single"/>
        </w:rPr>
        <w:t>10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5265B7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DC1A66" w:rsidRPr="00DC1A66" w:rsidRDefault="005265B7" w:rsidP="005265B7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eastAsia="es-UY"/>
        </w:rPr>
      </w:pPr>
      <w:r w:rsidRPr="005265B7">
        <w:rPr>
          <w:rFonts w:ascii="Arial" w:eastAsia="Calibri" w:hAnsi="Arial" w:cs="Arial"/>
          <w:sz w:val="21"/>
          <w:szCs w:val="21"/>
          <w:lang w:val="es-ES_tradnl" w:eastAsia="es-UY"/>
        </w:rPr>
        <w:t>Construcción de un aula con baño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5265B7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ESCUELA Nº 9 RAIGÓN, SAN JOSÉ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</w:t>
      </w:r>
      <w:r w:rsidR="005265B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/10/70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5265B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  <w:bookmarkStart w:id="0" w:name="_GoBack"/>
      <w:bookmarkEnd w:id="0"/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265B7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BDE6A9-212A-4791-84E0-8DCD9A859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117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2018-04-12T18:09:00Z</dcterms:modified>
</cp:coreProperties>
</file>